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284"/>
        <w:gridCol w:w="4569"/>
      </w:tblGrid>
      <w:tr w:rsidR="001724D6" w:rsidRPr="006E6D72" w:rsidTr="00422285">
        <w:tc>
          <w:tcPr>
            <w:tcW w:w="4394" w:type="dxa"/>
            <w:shd w:val="clear" w:color="auto" w:fill="auto"/>
          </w:tcPr>
          <w:p w:rsidR="001724D6" w:rsidRPr="006E6D72" w:rsidRDefault="001724D6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1724D6" w:rsidRPr="006E6D72" w:rsidRDefault="001724D6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1724D6" w:rsidRPr="006E6D72" w:rsidRDefault="001724D6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>УТВЕРЖДЕНО:</w:t>
            </w:r>
          </w:p>
          <w:p w:rsidR="00FB5E8F" w:rsidRPr="006E6D72" w:rsidRDefault="00FB5E8F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</w:t>
            </w:r>
          </w:p>
          <w:p w:rsidR="00FB5E8F" w:rsidRPr="006E6D72" w:rsidRDefault="00FB5E8F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 xml:space="preserve">дорожного хозяйства и </w:t>
            </w:r>
          </w:p>
          <w:p w:rsidR="00FB5E8F" w:rsidRPr="006E6D72" w:rsidRDefault="00FB5E8F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 xml:space="preserve">транспорта администрации </w:t>
            </w:r>
          </w:p>
          <w:p w:rsidR="001724D6" w:rsidRPr="006E6D72" w:rsidRDefault="00FB5E8F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 xml:space="preserve">города </w:t>
            </w:r>
            <w:bookmarkStart w:id="0" w:name="_GoBack"/>
            <w:bookmarkEnd w:id="0"/>
            <w:r w:rsidRPr="006E6D72">
              <w:rPr>
                <w:rFonts w:ascii="PT Astra Serif" w:hAnsi="PT Astra Serif"/>
                <w:b/>
                <w:sz w:val="28"/>
                <w:szCs w:val="28"/>
              </w:rPr>
              <w:t>Ульяновска</w:t>
            </w:r>
          </w:p>
          <w:p w:rsidR="001724D6" w:rsidRPr="006E6D72" w:rsidRDefault="001724D6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045" w:rsidRPr="006E6D72" w:rsidRDefault="00993045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045" w:rsidRPr="006E6D72" w:rsidRDefault="00993045" w:rsidP="001724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724D6" w:rsidRPr="006E6D72" w:rsidRDefault="001724D6" w:rsidP="0099304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>______________/</w:t>
            </w:r>
            <w:r w:rsidR="00FB5E8F" w:rsidRPr="006E6D72">
              <w:rPr>
                <w:rFonts w:ascii="PT Astra Serif" w:hAnsi="PT Astra Serif"/>
                <w:b/>
                <w:sz w:val="28"/>
                <w:szCs w:val="28"/>
              </w:rPr>
              <w:t>В.А.Художидков</w:t>
            </w:r>
            <w:r w:rsidRPr="006E6D7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93045" w:rsidRPr="006E6D72" w:rsidRDefault="00993045" w:rsidP="0099304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93045" w:rsidRPr="006E6D72" w:rsidRDefault="00993045" w:rsidP="0099304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E6D72">
              <w:rPr>
                <w:rFonts w:ascii="PT Astra Serif" w:hAnsi="PT Astra Serif"/>
                <w:b/>
                <w:sz w:val="28"/>
                <w:szCs w:val="28"/>
              </w:rPr>
              <w:t>«____» ______________ 2022 года</w:t>
            </w:r>
          </w:p>
        </w:tc>
      </w:tr>
    </w:tbl>
    <w:p w:rsidR="00C10A66" w:rsidRPr="006E6D72" w:rsidRDefault="00C10A66" w:rsidP="00C10A66">
      <w:pPr>
        <w:spacing w:after="0" w:line="240" w:lineRule="auto"/>
        <w:ind w:firstLine="6237"/>
        <w:contextualSpacing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476EDE" w:rsidRPr="006E6D72" w:rsidRDefault="00476EDE" w:rsidP="00C10A66">
      <w:pPr>
        <w:spacing w:after="0" w:line="240" w:lineRule="auto"/>
        <w:ind w:firstLine="6237"/>
        <w:contextualSpacing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E208A9" w:rsidRPr="006E6D72" w:rsidRDefault="00E208A9" w:rsidP="00C10A6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E6D72">
        <w:rPr>
          <w:rFonts w:ascii="PT Astra Serif" w:hAnsi="PT Astra Serif"/>
          <w:b/>
          <w:spacing w:val="-2"/>
          <w:sz w:val="28"/>
          <w:szCs w:val="28"/>
        </w:rPr>
        <w:t xml:space="preserve">ПРОГРАММА </w:t>
      </w: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E6D72">
        <w:rPr>
          <w:rFonts w:ascii="PT Astra Serif" w:hAnsi="PT Astra Serif"/>
          <w:b/>
          <w:spacing w:val="-2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</w:t>
      </w:r>
      <w:r w:rsidR="00FB5E8F" w:rsidRPr="006E6D72">
        <w:rPr>
          <w:rFonts w:ascii="PT Astra Serif" w:hAnsi="PT Astra Serif"/>
          <w:b/>
          <w:spacing w:val="-2"/>
          <w:sz w:val="28"/>
          <w:szCs w:val="28"/>
        </w:rPr>
        <w:br/>
      </w:r>
      <w:r w:rsidRPr="006E6D72">
        <w:rPr>
          <w:rFonts w:ascii="PT Astra Serif" w:hAnsi="PT Astra Serif"/>
          <w:b/>
          <w:spacing w:val="-2"/>
          <w:sz w:val="28"/>
          <w:szCs w:val="28"/>
        </w:rPr>
        <w:t xml:space="preserve">транспорте, городском наземном электрическом транспорте и в дорожном хозяйстве в границах муниципального образования «город Ульяновск» </w:t>
      </w:r>
      <w:r w:rsidR="00FB5E8F" w:rsidRPr="006E6D72">
        <w:rPr>
          <w:rFonts w:ascii="PT Astra Serif" w:hAnsi="PT Astra Serif"/>
          <w:b/>
          <w:spacing w:val="-2"/>
          <w:sz w:val="28"/>
          <w:szCs w:val="28"/>
        </w:rPr>
        <w:br/>
      </w:r>
      <w:r w:rsidRPr="006E6D72">
        <w:rPr>
          <w:rFonts w:ascii="PT Astra Serif" w:hAnsi="PT Astra Serif"/>
          <w:b/>
          <w:spacing w:val="-2"/>
          <w:sz w:val="28"/>
          <w:szCs w:val="28"/>
        </w:rPr>
        <w:t>на 202</w:t>
      </w:r>
      <w:r w:rsidR="00FB5E8F" w:rsidRPr="006E6D72">
        <w:rPr>
          <w:rFonts w:ascii="PT Astra Serif" w:hAnsi="PT Astra Serif"/>
          <w:b/>
          <w:spacing w:val="-2"/>
          <w:sz w:val="28"/>
          <w:szCs w:val="28"/>
        </w:rPr>
        <w:t>3</w:t>
      </w:r>
      <w:r w:rsidRPr="006E6D72">
        <w:rPr>
          <w:rFonts w:ascii="PT Astra Serif" w:hAnsi="PT Astra Serif"/>
          <w:b/>
          <w:spacing w:val="-2"/>
          <w:sz w:val="28"/>
          <w:szCs w:val="28"/>
        </w:rPr>
        <w:t xml:space="preserve"> год</w:t>
      </w: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spacing w:val="-2"/>
          <w:sz w:val="28"/>
          <w:szCs w:val="28"/>
        </w:rPr>
      </w:pPr>
      <w:r w:rsidRPr="006E6D72">
        <w:rPr>
          <w:rFonts w:ascii="PT Astra Serif" w:hAnsi="PT Astra Serif"/>
          <w:spacing w:val="-2"/>
          <w:sz w:val="28"/>
          <w:szCs w:val="28"/>
        </w:rPr>
        <w:t>1. Анализ и описание профилактической деятельности</w:t>
      </w: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spacing w:val="-2"/>
          <w:sz w:val="28"/>
          <w:szCs w:val="28"/>
        </w:rPr>
      </w:pPr>
      <w:r w:rsidRPr="006E6D72">
        <w:rPr>
          <w:rFonts w:ascii="PT Astra Serif" w:hAnsi="PT Astra Serif"/>
          <w:spacing w:val="-2"/>
          <w:sz w:val="28"/>
          <w:szCs w:val="28"/>
        </w:rPr>
        <w:t>контрольного органа</w:t>
      </w: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FB5E8F" w:rsidRPr="006E6D72" w:rsidRDefault="00385BCF" w:rsidP="00FB5E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Настоящая Программа </w:t>
      </w:r>
      <w:r w:rsidRPr="006E6D72">
        <w:rPr>
          <w:rFonts w:ascii="PT Astra Serif" w:hAnsi="PT Astra Serif"/>
          <w:spacing w:val="-2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(далее </w:t>
      </w:r>
      <w:r w:rsidR="006E6D72"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sym w:font="Symbol" w:char="F02D"/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Программа) разработана в соответствии со статьёй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«город Ульяновск» (далее - муниципального контроля).</w:t>
      </w:r>
    </w:p>
    <w:p w:rsidR="00FB5E8F" w:rsidRPr="00FB5E8F" w:rsidRDefault="00FB5E8F" w:rsidP="00FB5E8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В связи с принятием п</w:t>
      </w:r>
      <w:r w:rsidRPr="00FB5E8F">
        <w:rPr>
          <w:rFonts w:ascii="PT Astra Serif" w:eastAsia="Times New Roman" w:hAnsi="PT Astra Serif" w:cs="Times New Roman"/>
          <w:color w:val="000000"/>
          <w:sz w:val="28"/>
          <w:szCs w:val="28"/>
        </w:rPr>
        <w:t>остановлени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FB5E8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Правительства Р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оссийской </w:t>
      </w:r>
      <w:r w:rsidRPr="00FB5E8F">
        <w:rPr>
          <w:rFonts w:ascii="PT Astra Serif" w:eastAsia="Times New Roman" w:hAnsi="PT Astra Serif" w:cs="Times New Roman"/>
          <w:color w:val="000000"/>
          <w:sz w:val="28"/>
          <w:szCs w:val="28"/>
        </w:rPr>
        <w:t>Ф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едерации</w:t>
      </w:r>
      <w:r w:rsidRPr="00FB5E8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от 10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.03.2022 № 336 «</w:t>
      </w:r>
      <w:r w:rsidRPr="00FB5E8F">
        <w:rPr>
          <w:rFonts w:ascii="PT Astra Serif" w:eastAsia="Times New Roman" w:hAnsi="PT Astra Serif" w:cs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дзора), муниципального контроля» </w:t>
      </w:r>
      <w:r w:rsidR="000F2DE6"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плановые и внеплановые проверки в отношении юридических лиц и индивидуальных предпринимателей не проводились.</w:t>
      </w:r>
    </w:p>
    <w:p w:rsidR="00FB5E8F" w:rsidRPr="006E6D72" w:rsidRDefault="000F2DE6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Управлением </w:t>
      </w:r>
      <w:r w:rsid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дорожного хозяйства и транспорта администрации города Ульяновска (далее – Управление) 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проводилась разъяснительная работа с юридическими лицами, индивидуальными предпринимателями по вопросам соблюдения обязательных требований, установленных муниципальными правовыми актами, в форме собраний и совещаний.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Данная программа профилактики направленна на предотвращение фактов вредного воздействия в области использования автомобильных дорог общего пользования местного значения города Ульяновска (далее </w:t>
      </w:r>
      <w:r w:rsidR="000F2DE6"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sym w:font="Symbol" w:char="F02D"/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автодороги) при осуществлении хозяйственной и иной деятельности.</w:t>
      </w: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E6D72">
        <w:rPr>
          <w:rFonts w:ascii="PT Astra Serif" w:hAnsi="PT Astra Serif"/>
          <w:sz w:val="28"/>
          <w:szCs w:val="28"/>
        </w:rPr>
        <w:t>2. Цели и задачи Программы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Целями проведения профилактических мероприятий являются: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повышение прозрачности системы муниципального контроля в целом и деятельности контрольных органов;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снижение административных и финансовых издержек юридических лиц и граждан, в том числе индивидуальных предпринимателей (далее - подконтрольные субъекты) при осуществлении органами муниципального контроля полномочий по осуществлению функции муниципального контроля;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предупреждение нарушения подконтрольными субъектами обязатель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softHyphen/>
        <w:t>ных требований, установленных правовыми актами в сфере автомобильного транспорта, городского наземного электрического транспорта и сохранности автодорог,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создание условий для доведения об</w:t>
      </w:r>
      <w:r w:rsidR="000F2DE6"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язательных требований до контро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лируемых лиц, повышение информированности о способах их соблюдения.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Задачами проведения профилактических мероприятий являются: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формирование единого понимания содержания обязательных требова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softHyphen/>
        <w:t>ний установленных правовыми актами у всех участников контрольной деятельности;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3. Перечень профилактических мероприятий, сроки их проведения</w:t>
      </w:r>
    </w:p>
    <w:p w:rsidR="00385BCF" w:rsidRPr="006E6D72" w:rsidRDefault="00385BCF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При осуществлении Управлением муниципального контроля на автомобильном транспорте могут проводиться следующие виды профилактических мероприятий: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1) информирование;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3) объявление предостережений;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4) консультирование;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5) профилактический визит.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Информирование осуществляется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Управлением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6E6D72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Управления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sym w:font="Symbol" w:char="F02D"/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официальный сайт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Управления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) в специальном разделе, посвящённом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Управление 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обязан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размещать и поддерживать в актуальном состоянии на </w:t>
      </w:r>
      <w:hyperlink r:id="rId9" w:tgtFrame="_blank" w:history="1">
        <w:r w:rsidRPr="006E6D72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официальном сайте</w:t>
        </w:r>
      </w:hyperlink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Управления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 специальном разделе, посвящённом контрольной деятельности, сведения, предусмотренные </w:t>
      </w:r>
      <w:hyperlink r:id="rId10" w:anchor="/document/74449814/entry/4603" w:history="1">
        <w:r w:rsidRPr="006E6D72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частью 3 статьи 46</w:t>
        </w:r>
      </w:hyperlink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 Федерального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закона от 31.07.2020 N 248-ФЗ «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контроле в Российской Федерации»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Администрация также вправе информировать населе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ние муниципального образования «город Ульяновск»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Обобщение правоприменительной практики осуществляется уполномоченным органом посредством сбора и анализа данных о проведённых контрольных мероприятиях и их результатах.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начальником Управления. Указанный доклад размещается в срок до 1 июля года, следующего за отчётным годом, на официальном сайте уполномоченного органа в специальном разделе, посвящённом контрольной деятельности.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Управления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начальником Управления 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оформляется в соответствии с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hyperlink r:id="rId11" w:anchor="/document/400839591/entry/15000" w:history="1">
        <w:r w:rsidRPr="006E6D72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формой</w:t>
        </w:r>
      </w:hyperlink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, утверждённой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hyperlink r:id="rId12" w:anchor="/document/400839591/entry/0" w:history="1">
        <w:r w:rsidRPr="006E6D72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приказом</w:t>
        </w:r>
      </w:hyperlink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Министерства экономического развития Российской Федерации от 31.03.2021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br/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№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151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«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 типовых формах документов, используемых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контрольным (надзорным) органом»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учёта предостережений с присвоением регистрационного номера.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случае объявления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Управлением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приёме либо в ходе проведения профилактических мероприятий, контрольных мероприятий и не должно превышать 15 минут.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Личный приём граждан проводится начальником Управления и (или) должностным лицом, уполномоченным осуществлять муниципальный контроль на автомобильном транспорте. Информация о месте приёма, а также об установленных для приёма днях и часах размещается на официальном сайте уполномоченного органа в специальном разделе, посвящённом контрольной деятельности.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ведётся журнал учёта консультирований.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в специальном разделе, посвящённом контрольной деятельности, письменного разъяснения, подписанного начальником Управления или должностным лицом, уполномоченным осуществлять муниципальный контроль на автомобильном транспорте.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</w:t>
      </w:r>
    </w:p>
    <w:p w:rsidR="006E6D72" w:rsidRP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E6D72" w:rsidRDefault="006E6D72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p w:rsidR="001F5A84" w:rsidRDefault="001F5A84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F5A84" w:rsidRDefault="001F5A84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F5A84" w:rsidRDefault="001F5A84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F5A84" w:rsidRDefault="001F5A84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F5A84" w:rsidRPr="006E6D72" w:rsidRDefault="001F5A84" w:rsidP="006E6D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tbl>
      <w:tblPr>
        <w:tblW w:w="1018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513"/>
        <w:gridCol w:w="2972"/>
        <w:gridCol w:w="2328"/>
        <w:gridCol w:w="1908"/>
      </w:tblGrid>
      <w:tr w:rsidR="006E6D72" w:rsidRPr="006E6D72" w:rsidTr="001F5A84">
        <w:trPr>
          <w:trHeight w:val="748"/>
          <w:tblHeader/>
        </w:trPr>
        <w:tc>
          <w:tcPr>
            <w:tcW w:w="464" w:type="dxa"/>
            <w:tcBorders>
              <w:bottom w:val="nil"/>
            </w:tcBorders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13" w:type="dxa"/>
            <w:tcBorders>
              <w:bottom w:val="nil"/>
            </w:tcBorders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Вид мероприятия</w:t>
            </w:r>
          </w:p>
        </w:tc>
        <w:tc>
          <w:tcPr>
            <w:tcW w:w="2972" w:type="dxa"/>
            <w:tcBorders>
              <w:bottom w:val="nil"/>
            </w:tcBorders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Содержание мероприятия</w:t>
            </w:r>
          </w:p>
        </w:tc>
        <w:tc>
          <w:tcPr>
            <w:tcW w:w="2328" w:type="dxa"/>
            <w:tcBorders>
              <w:bottom w:val="nil"/>
            </w:tcBorders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08" w:type="dxa"/>
            <w:tcBorders>
              <w:bottom w:val="nil"/>
            </w:tcBorders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</w:tbl>
    <w:p w:rsidR="006E6D72" w:rsidRPr="006E6D72" w:rsidRDefault="006E6D72" w:rsidP="006E6D72">
      <w:pPr>
        <w:spacing w:after="0" w:line="240" w:lineRule="auto"/>
        <w:rPr>
          <w:rFonts w:ascii="PT Astra Serif" w:hAnsi="PT Astra Serif"/>
          <w:sz w:val="2"/>
          <w:szCs w:val="2"/>
        </w:rPr>
      </w:pPr>
    </w:p>
    <w:tbl>
      <w:tblPr>
        <w:tblW w:w="10185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513"/>
        <w:gridCol w:w="2972"/>
        <w:gridCol w:w="2328"/>
        <w:gridCol w:w="1908"/>
      </w:tblGrid>
      <w:tr w:rsidR="006E6D72" w:rsidRPr="006E6D72" w:rsidTr="001F5A84">
        <w:trPr>
          <w:trHeight w:val="187"/>
          <w:tblHeader/>
        </w:trPr>
        <w:tc>
          <w:tcPr>
            <w:tcW w:w="464" w:type="dxa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513" w:type="dxa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72" w:type="dxa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328" w:type="dxa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6E6D72" w:rsidRPr="006E6D72" w:rsidTr="001F5A84">
        <w:trPr>
          <w:trHeight w:val="57"/>
        </w:trPr>
        <w:tc>
          <w:tcPr>
            <w:tcW w:w="464" w:type="dxa"/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513" w:type="dxa"/>
          </w:tcPr>
          <w:p w:rsidR="006E6D72" w:rsidRPr="006E6D72" w:rsidRDefault="006E6D72" w:rsidP="001023ED">
            <w:pPr>
              <w:ind w:left="91" w:right="12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 xml:space="preserve">Актуализация и размещение информации в сети «Интернет» на официальном сайте </w:t>
            </w:r>
            <w:r w:rsidR="001F5A84">
              <w:rPr>
                <w:rFonts w:ascii="PT Astra Serif" w:hAnsi="PT Astra Serif"/>
                <w:sz w:val="20"/>
                <w:szCs w:val="20"/>
              </w:rPr>
              <w:t xml:space="preserve">Управления </w:t>
            </w:r>
          </w:p>
        </w:tc>
        <w:tc>
          <w:tcPr>
            <w:tcW w:w="2972" w:type="dxa"/>
          </w:tcPr>
          <w:p w:rsidR="006E6D72" w:rsidRPr="006E6D72" w:rsidRDefault="006E6D72" w:rsidP="001023ED">
            <w:pPr>
              <w:ind w:left="130" w:right="119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Размещение нормативных правовых актов, содержащих обязательные требования, оценка соблюдения которых осуществляется в рамках муниципального дорожного контроля</w:t>
            </w:r>
          </w:p>
        </w:tc>
        <w:tc>
          <w:tcPr>
            <w:tcW w:w="2328" w:type="dxa"/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По мере необходимости</w:t>
            </w:r>
          </w:p>
        </w:tc>
        <w:tc>
          <w:tcPr>
            <w:tcW w:w="1908" w:type="dxa"/>
            <w:hideMark/>
          </w:tcPr>
          <w:p w:rsidR="006E6D72" w:rsidRPr="006E6D72" w:rsidRDefault="006E6D72" w:rsidP="001F5A8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iCs/>
                <w:sz w:val="20"/>
                <w:szCs w:val="20"/>
              </w:rPr>
              <w:t xml:space="preserve">Должностные лица </w:t>
            </w:r>
            <w:r w:rsidR="001F5A84">
              <w:rPr>
                <w:rFonts w:ascii="PT Astra Serif" w:hAnsi="PT Astra Serif"/>
                <w:iCs/>
                <w:sz w:val="20"/>
                <w:szCs w:val="20"/>
              </w:rPr>
              <w:t>Управления, уполномоченные осуществлять муниципального контроля</w:t>
            </w:r>
          </w:p>
        </w:tc>
      </w:tr>
      <w:tr w:rsidR="006E6D72" w:rsidRPr="006E6D72" w:rsidTr="001F5A84">
        <w:tc>
          <w:tcPr>
            <w:tcW w:w="464" w:type="dxa"/>
            <w:vMerge w:val="restart"/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2513" w:type="dxa"/>
            <w:vMerge w:val="restart"/>
            <w:hideMark/>
          </w:tcPr>
          <w:p w:rsidR="006E6D72" w:rsidRPr="006E6D72" w:rsidRDefault="006E6D72" w:rsidP="001023ED">
            <w:pPr>
              <w:ind w:left="91" w:right="12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 xml:space="preserve">Обобщение практики осуществления муниципального контроля посредством </w:t>
            </w:r>
            <w:r w:rsidR="001F5A84">
              <w:rPr>
                <w:rFonts w:ascii="PT Astra Serif" w:hAnsi="PT Astra Serif"/>
                <w:sz w:val="20"/>
                <w:szCs w:val="20"/>
              </w:rPr>
              <w:t>сбора и анализа данных о проведё</w:t>
            </w:r>
            <w:r w:rsidRPr="006E6D72">
              <w:rPr>
                <w:rFonts w:ascii="PT Astra Serif" w:hAnsi="PT Astra Serif"/>
                <w:sz w:val="20"/>
                <w:szCs w:val="20"/>
              </w:rPr>
              <w:t>нных контрольных мероприятиях (контрольных действиях) и их результатах, в том числе анализа выявленных в резуль</w:t>
            </w:r>
            <w:r w:rsidR="001F5A84">
              <w:rPr>
                <w:rFonts w:ascii="PT Astra Serif" w:hAnsi="PT Astra Serif"/>
                <w:sz w:val="20"/>
                <w:szCs w:val="20"/>
              </w:rPr>
              <w:t>тате проведения муниципального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 контроля нарушений обязательных требований контролируемыми лицами</w:t>
            </w:r>
          </w:p>
        </w:tc>
        <w:tc>
          <w:tcPr>
            <w:tcW w:w="2972" w:type="dxa"/>
            <w:hideMark/>
          </w:tcPr>
          <w:p w:rsidR="006E6D72" w:rsidRPr="006E6D72" w:rsidRDefault="006E6D72" w:rsidP="006E6D72">
            <w:pPr>
              <w:pStyle w:val="s1"/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Подготовка доклада о правоприменительной практике</w:t>
            </w:r>
          </w:p>
          <w:p w:rsidR="006E6D72" w:rsidRPr="006E6D72" w:rsidRDefault="006E6D72" w:rsidP="006E6D72">
            <w:pPr>
              <w:pStyle w:val="s1"/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E6D72" w:rsidRPr="006E6D72" w:rsidRDefault="006E6D72" w:rsidP="006E6D72">
            <w:pPr>
              <w:pStyle w:val="s1"/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E6D72" w:rsidRPr="006E6D72" w:rsidRDefault="006E6D72" w:rsidP="006E6D72">
            <w:pPr>
              <w:pStyle w:val="s1"/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hideMark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hideMark/>
          </w:tcPr>
          <w:p w:rsidR="006E6D72" w:rsidRPr="006E6D72" w:rsidRDefault="001F5A84" w:rsidP="001F5A8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iCs/>
                <w:sz w:val="20"/>
                <w:szCs w:val="20"/>
              </w:rPr>
              <w:t xml:space="preserve">Должностные лица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>Управления, уполномоченные осуществлять муниципальный контроль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E6D72" w:rsidRPr="006E6D72" w:rsidTr="001F5A84">
        <w:tc>
          <w:tcPr>
            <w:tcW w:w="464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2" w:type="dxa"/>
          </w:tcPr>
          <w:p w:rsidR="006E6D72" w:rsidRPr="006E6D72" w:rsidRDefault="006E6D72" w:rsidP="001F5A84">
            <w:pPr>
              <w:pStyle w:val="s1"/>
              <w:shd w:val="clear" w:color="auto" w:fill="FFFFFF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 xml:space="preserve">Размещение доклада о правоприменительной практике на официальном сайте </w:t>
            </w:r>
            <w:r w:rsidR="001F5A84">
              <w:rPr>
                <w:rFonts w:ascii="PT Astra Serif" w:hAnsi="PT Astra Serif"/>
                <w:sz w:val="20"/>
                <w:szCs w:val="20"/>
              </w:rPr>
              <w:t>Управления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 в разделе «</w:t>
            </w:r>
            <w:r w:rsidR="001F5A84">
              <w:rPr>
                <w:rFonts w:ascii="PT Astra Serif" w:hAnsi="PT Astra Serif"/>
                <w:sz w:val="20"/>
                <w:szCs w:val="20"/>
              </w:rPr>
              <w:t>Муниципальный контроль</w:t>
            </w:r>
            <w:r w:rsidRPr="006E6D72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328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E6D72" w:rsidRPr="006E6D72" w:rsidTr="001F5A84">
        <w:tc>
          <w:tcPr>
            <w:tcW w:w="464" w:type="dxa"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2513" w:type="dxa"/>
          </w:tcPr>
          <w:p w:rsidR="006E6D72" w:rsidRPr="006E6D72" w:rsidRDefault="006E6D72" w:rsidP="001023ED">
            <w:pPr>
              <w:ind w:left="91" w:right="12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6E6D72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 в случае наличия у контрольного органа сведений о готовящихся нарушениях обязательных требований </w:t>
            </w:r>
            <w:r w:rsidRPr="006E6D72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Pr="006E6D72">
              <w:rPr>
                <w:rFonts w:ascii="PT Astra Serif" w:hAnsi="PT Astra Serif"/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2" w:type="dxa"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28" w:type="dxa"/>
          </w:tcPr>
          <w:p w:rsidR="006E6D72" w:rsidRPr="006E6D72" w:rsidRDefault="006E6D72" w:rsidP="001023ED">
            <w:pPr>
              <w:ind w:left="135" w:right="179"/>
              <w:jc w:val="both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 xml:space="preserve">По мере выявления готовящихся нарушений обязательных требований </w:t>
            </w:r>
            <w:r w:rsidRPr="006E6D72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или признаков нарушений обязательных требований,</w:t>
            </w:r>
            <w:r w:rsidRPr="006E6D72">
              <w:rPr>
                <w:rFonts w:ascii="PT Astra Serif" w:hAnsi="PT Astra Serif"/>
                <w:i/>
                <w:iCs/>
                <w:sz w:val="20"/>
                <w:szCs w:val="20"/>
              </w:rPr>
              <w:t xml:space="preserve"> 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не позднее 30 дней со дня получения </w:t>
            </w:r>
            <w:r w:rsidR="001F5A84">
              <w:rPr>
                <w:rFonts w:ascii="PT Astra Serif" w:hAnsi="PT Astra Serif"/>
                <w:sz w:val="20"/>
                <w:szCs w:val="20"/>
              </w:rPr>
              <w:t>Управлением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 указанных сведений</w:t>
            </w:r>
          </w:p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iCs/>
                <w:sz w:val="20"/>
                <w:szCs w:val="20"/>
              </w:rPr>
              <w:t xml:space="preserve">Должностные лица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>Управления, уполномоченные осуществлять муниципальный контроль</w:t>
            </w:r>
            <w:r w:rsidRPr="006E6D7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E6D72" w:rsidRPr="006E6D72" w:rsidTr="001F5A84">
        <w:tc>
          <w:tcPr>
            <w:tcW w:w="464" w:type="dxa"/>
            <w:vMerge w:val="restart"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513" w:type="dxa"/>
            <w:vMerge w:val="restart"/>
          </w:tcPr>
          <w:p w:rsidR="006E6D72" w:rsidRPr="006E6D72" w:rsidRDefault="006E6D72" w:rsidP="006E6D72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6E6D72">
              <w:rPr>
                <w:rFonts w:ascii="PT Astra Serif" w:hAnsi="PT Astra Serif"/>
                <w:sz w:val="20"/>
              </w:rPr>
              <w:t>Консультирование контролируемых лиц в устной или письменной форме</w:t>
            </w:r>
          </w:p>
        </w:tc>
        <w:tc>
          <w:tcPr>
            <w:tcW w:w="2972" w:type="dxa"/>
          </w:tcPr>
          <w:p w:rsidR="006E6D72" w:rsidRPr="006E6D72" w:rsidRDefault="006E6D72" w:rsidP="006E6D7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1. Консультирование контролируемых лиц в устной форме по телефону, на личном приеме</w:t>
            </w:r>
          </w:p>
          <w:p w:rsidR="006E6D72" w:rsidRPr="006E6D72" w:rsidRDefault="006E6D72" w:rsidP="006E6D7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E6D72" w:rsidRPr="006E6D72" w:rsidRDefault="006E6D72" w:rsidP="006E6D7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8" w:type="dxa"/>
          </w:tcPr>
          <w:p w:rsidR="006E6D72" w:rsidRPr="006E6D72" w:rsidRDefault="006E6D72" w:rsidP="001023E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lastRenderedPageBreak/>
              <w:t>При обращении лица, нуждающегося в консультировании</w:t>
            </w:r>
          </w:p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</w:tcPr>
          <w:p w:rsidR="006E6D72" w:rsidRPr="006E6D72" w:rsidRDefault="001F5A84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iCs/>
                <w:sz w:val="20"/>
                <w:szCs w:val="20"/>
              </w:rPr>
              <w:lastRenderedPageBreak/>
              <w:t xml:space="preserve">Должностные лица </w:t>
            </w:r>
            <w:r>
              <w:rPr>
                <w:rFonts w:ascii="PT Astra Serif" w:hAnsi="PT Astra Serif"/>
                <w:iCs/>
                <w:sz w:val="20"/>
                <w:szCs w:val="20"/>
              </w:rPr>
              <w:t>Управления, уполномоченные осуществлять муниципальный контроль</w:t>
            </w:r>
          </w:p>
        </w:tc>
      </w:tr>
      <w:tr w:rsidR="006E6D72" w:rsidRPr="006E6D72" w:rsidTr="001F5A84">
        <w:tc>
          <w:tcPr>
            <w:tcW w:w="464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13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72" w:type="dxa"/>
          </w:tcPr>
          <w:p w:rsidR="006E6D72" w:rsidRPr="006E6D72" w:rsidRDefault="006E6D72" w:rsidP="006E6D7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2328" w:type="dxa"/>
          </w:tcPr>
          <w:p w:rsidR="006E6D72" w:rsidRPr="006E6D72" w:rsidRDefault="006E6D72" w:rsidP="001023ED">
            <w:pPr>
              <w:ind w:left="135" w:right="3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E6D72">
              <w:rPr>
                <w:rFonts w:ascii="PT Astra Serif" w:hAnsi="PT Astra Serif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08" w:type="dxa"/>
            <w:vMerge/>
          </w:tcPr>
          <w:p w:rsidR="006E6D72" w:rsidRPr="006E6D72" w:rsidRDefault="006E6D72" w:rsidP="006E6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2DE6" w:rsidRPr="006E6D72" w:rsidRDefault="000F2DE6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4. Показатели результативности и эффективности </w:t>
      </w:r>
    </w:p>
    <w:p w:rsidR="00385BCF" w:rsidRPr="006E6D72" w:rsidRDefault="00385BCF" w:rsidP="00385BC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программы профилактики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Результатом реализации Программы является снижение количества выявленных нарушений обязательных требований.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Оценка эффективности и результативности профилактических меро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softHyphen/>
        <w:t>приятий осуществляется по следующим индикативным показателям: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количество проведенных мероприятий, ед.;</w:t>
      </w:r>
    </w:p>
    <w:p w:rsidR="00385BCF" w:rsidRPr="006E6D72" w:rsidRDefault="00385BCF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t>количество подконтрольных субъектов, в отношении которых прове</w:t>
      </w:r>
      <w:r w:rsidRPr="006E6D72">
        <w:rPr>
          <w:rFonts w:ascii="PT Astra Serif" w:eastAsia="Times New Roman" w:hAnsi="PT Astra Serif" w:cs="Times New Roman"/>
          <w:color w:val="000000"/>
          <w:sz w:val="28"/>
          <w:szCs w:val="28"/>
        </w:rPr>
        <w:softHyphen/>
        <w:t>дены профилактические мероприятия, ед.</w:t>
      </w:r>
    </w:p>
    <w:p w:rsidR="00993045" w:rsidRPr="006E6D72" w:rsidRDefault="00993045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93045" w:rsidRPr="006E6D72" w:rsidRDefault="004B71CC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3045" w:rsidRPr="006E6D72" w:rsidRDefault="00993045" w:rsidP="00385BC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sectPr w:rsidR="00993045" w:rsidRPr="006E6D72" w:rsidSect="001A6E69">
      <w:headerReference w:type="default" r:id="rId13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2A" w:rsidRDefault="00603C2A" w:rsidP="00FF100A">
      <w:pPr>
        <w:spacing w:after="0" w:line="240" w:lineRule="auto"/>
      </w:pPr>
      <w:r>
        <w:separator/>
      </w:r>
    </w:p>
  </w:endnote>
  <w:endnote w:type="continuationSeparator" w:id="0">
    <w:p w:rsidR="00603C2A" w:rsidRDefault="00603C2A" w:rsidP="00FF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2A" w:rsidRDefault="00603C2A" w:rsidP="00FF100A">
      <w:pPr>
        <w:spacing w:after="0" w:line="240" w:lineRule="auto"/>
      </w:pPr>
      <w:r>
        <w:separator/>
      </w:r>
    </w:p>
  </w:footnote>
  <w:footnote w:type="continuationSeparator" w:id="0">
    <w:p w:rsidR="00603C2A" w:rsidRDefault="00603C2A" w:rsidP="00FF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5548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D3361" w:rsidRPr="001724D6" w:rsidRDefault="003D3361">
        <w:pPr>
          <w:pStyle w:val="aa"/>
          <w:jc w:val="center"/>
          <w:rPr>
            <w:rFonts w:ascii="PT Astra Serif" w:hAnsi="PT Astra Serif"/>
            <w:sz w:val="28"/>
            <w:szCs w:val="28"/>
          </w:rPr>
        </w:pPr>
        <w:r w:rsidRPr="001724D6">
          <w:rPr>
            <w:rFonts w:ascii="PT Astra Serif" w:hAnsi="PT Astra Serif"/>
            <w:sz w:val="28"/>
            <w:szCs w:val="28"/>
          </w:rPr>
          <w:fldChar w:fldCharType="begin"/>
        </w:r>
        <w:r w:rsidRPr="001724D6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1724D6">
          <w:rPr>
            <w:rFonts w:ascii="PT Astra Serif" w:hAnsi="PT Astra Serif"/>
            <w:sz w:val="28"/>
            <w:szCs w:val="28"/>
          </w:rPr>
          <w:fldChar w:fldCharType="separate"/>
        </w:r>
        <w:r w:rsidR="001023ED">
          <w:rPr>
            <w:rFonts w:ascii="PT Astra Serif" w:hAnsi="PT Astra Serif"/>
            <w:noProof/>
            <w:sz w:val="28"/>
            <w:szCs w:val="28"/>
          </w:rPr>
          <w:t>7</w:t>
        </w:r>
        <w:r w:rsidRPr="001724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E003C"/>
    <w:multiLevelType w:val="multilevel"/>
    <w:tmpl w:val="436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D6486"/>
    <w:multiLevelType w:val="hybridMultilevel"/>
    <w:tmpl w:val="207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711C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66682"/>
    <w:multiLevelType w:val="hybridMultilevel"/>
    <w:tmpl w:val="049E7A98"/>
    <w:lvl w:ilvl="0" w:tplc="FE6C249A">
      <w:start w:val="1"/>
      <w:numFmt w:val="decimal"/>
      <w:lvlText w:val="%1."/>
      <w:lvlJc w:val="left"/>
      <w:pPr>
        <w:ind w:left="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13463E8"/>
    <w:multiLevelType w:val="hybridMultilevel"/>
    <w:tmpl w:val="67BC2E5C"/>
    <w:lvl w:ilvl="0" w:tplc="9F8062C8">
      <w:start w:val="1"/>
      <w:numFmt w:val="decimal"/>
      <w:lvlText w:val="1.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617F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2921FA"/>
    <w:multiLevelType w:val="hybridMultilevel"/>
    <w:tmpl w:val="584A6246"/>
    <w:lvl w:ilvl="0" w:tplc="B5D4053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30192"/>
    <w:multiLevelType w:val="hybridMultilevel"/>
    <w:tmpl w:val="8ADC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3696D"/>
    <w:multiLevelType w:val="multilevel"/>
    <w:tmpl w:val="5A4463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10">
    <w:nsid w:val="657D288F"/>
    <w:multiLevelType w:val="hybridMultilevel"/>
    <w:tmpl w:val="B2E8065A"/>
    <w:lvl w:ilvl="0" w:tplc="7A9426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3F72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AB04E1"/>
    <w:multiLevelType w:val="hybridMultilevel"/>
    <w:tmpl w:val="B9D2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6400B"/>
    <w:multiLevelType w:val="hybridMultilevel"/>
    <w:tmpl w:val="4EAA4A08"/>
    <w:lvl w:ilvl="0" w:tplc="02FE088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1A51E2"/>
    <w:multiLevelType w:val="hybridMultilevel"/>
    <w:tmpl w:val="0694D2F4"/>
    <w:lvl w:ilvl="0" w:tplc="9F8062C8">
      <w:start w:val="1"/>
      <w:numFmt w:val="decimal"/>
      <w:lvlText w:val="1.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13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54"/>
    <w:rsid w:val="000040A0"/>
    <w:rsid w:val="000069D3"/>
    <w:rsid w:val="000375C3"/>
    <w:rsid w:val="000438ED"/>
    <w:rsid w:val="00044987"/>
    <w:rsid w:val="00045815"/>
    <w:rsid w:val="000472E4"/>
    <w:rsid w:val="000510C5"/>
    <w:rsid w:val="00056169"/>
    <w:rsid w:val="00060753"/>
    <w:rsid w:val="00061353"/>
    <w:rsid w:val="0006349E"/>
    <w:rsid w:val="0007062D"/>
    <w:rsid w:val="00076768"/>
    <w:rsid w:val="00094FBA"/>
    <w:rsid w:val="00095A5D"/>
    <w:rsid w:val="000C3DC3"/>
    <w:rsid w:val="000C45FC"/>
    <w:rsid w:val="000D5575"/>
    <w:rsid w:val="000D5E68"/>
    <w:rsid w:val="000E2120"/>
    <w:rsid w:val="000E776C"/>
    <w:rsid w:val="000F2DE6"/>
    <w:rsid w:val="000F5D5D"/>
    <w:rsid w:val="000F5EBE"/>
    <w:rsid w:val="000F769E"/>
    <w:rsid w:val="001023ED"/>
    <w:rsid w:val="00104EE3"/>
    <w:rsid w:val="001061CE"/>
    <w:rsid w:val="00110812"/>
    <w:rsid w:val="00111F09"/>
    <w:rsid w:val="00127758"/>
    <w:rsid w:val="00130C1B"/>
    <w:rsid w:val="00134EBD"/>
    <w:rsid w:val="00140E2D"/>
    <w:rsid w:val="00146FFB"/>
    <w:rsid w:val="001511C4"/>
    <w:rsid w:val="00166CA1"/>
    <w:rsid w:val="00166E60"/>
    <w:rsid w:val="001724D6"/>
    <w:rsid w:val="00177BF8"/>
    <w:rsid w:val="00183F98"/>
    <w:rsid w:val="00187E2F"/>
    <w:rsid w:val="001A527C"/>
    <w:rsid w:val="001A56A9"/>
    <w:rsid w:val="001A6E69"/>
    <w:rsid w:val="001B60FD"/>
    <w:rsid w:val="001C3C77"/>
    <w:rsid w:val="001C7CB9"/>
    <w:rsid w:val="001D34F7"/>
    <w:rsid w:val="001D5839"/>
    <w:rsid w:val="001F5A84"/>
    <w:rsid w:val="00225AAC"/>
    <w:rsid w:val="00230C9E"/>
    <w:rsid w:val="00240098"/>
    <w:rsid w:val="002427C4"/>
    <w:rsid w:val="00253187"/>
    <w:rsid w:val="00260332"/>
    <w:rsid w:val="002766B8"/>
    <w:rsid w:val="002B3CED"/>
    <w:rsid w:val="002B42E5"/>
    <w:rsid w:val="002B701A"/>
    <w:rsid w:val="002C58EF"/>
    <w:rsid w:val="002C6092"/>
    <w:rsid w:val="002C6EAD"/>
    <w:rsid w:val="002D1F70"/>
    <w:rsid w:val="002D4470"/>
    <w:rsid w:val="002D49A4"/>
    <w:rsid w:val="002D5758"/>
    <w:rsid w:val="002E0BF8"/>
    <w:rsid w:val="002E7E00"/>
    <w:rsid w:val="002F2992"/>
    <w:rsid w:val="00307908"/>
    <w:rsid w:val="00310895"/>
    <w:rsid w:val="003115E7"/>
    <w:rsid w:val="00315C15"/>
    <w:rsid w:val="00321447"/>
    <w:rsid w:val="00322B1D"/>
    <w:rsid w:val="003233CA"/>
    <w:rsid w:val="003332D0"/>
    <w:rsid w:val="00347CAF"/>
    <w:rsid w:val="00350E5E"/>
    <w:rsid w:val="00354F3B"/>
    <w:rsid w:val="00355218"/>
    <w:rsid w:val="00355F7C"/>
    <w:rsid w:val="00376042"/>
    <w:rsid w:val="00385BCF"/>
    <w:rsid w:val="003869DF"/>
    <w:rsid w:val="003A2BB8"/>
    <w:rsid w:val="003A4DD8"/>
    <w:rsid w:val="003A7F8F"/>
    <w:rsid w:val="003B6230"/>
    <w:rsid w:val="003C259E"/>
    <w:rsid w:val="003C6C25"/>
    <w:rsid w:val="003D3361"/>
    <w:rsid w:val="003E24DA"/>
    <w:rsid w:val="003E421D"/>
    <w:rsid w:val="003F06F9"/>
    <w:rsid w:val="003F4A4A"/>
    <w:rsid w:val="004029A3"/>
    <w:rsid w:val="00404621"/>
    <w:rsid w:val="00412E62"/>
    <w:rsid w:val="00417DE0"/>
    <w:rsid w:val="00431E35"/>
    <w:rsid w:val="0043277D"/>
    <w:rsid w:val="004327FF"/>
    <w:rsid w:val="00433708"/>
    <w:rsid w:val="00440908"/>
    <w:rsid w:val="00446D7F"/>
    <w:rsid w:val="00447269"/>
    <w:rsid w:val="004564F3"/>
    <w:rsid w:val="00456737"/>
    <w:rsid w:val="004572B4"/>
    <w:rsid w:val="004614D1"/>
    <w:rsid w:val="00466EAF"/>
    <w:rsid w:val="004703C4"/>
    <w:rsid w:val="00476EDE"/>
    <w:rsid w:val="00485016"/>
    <w:rsid w:val="004876B1"/>
    <w:rsid w:val="004A63EA"/>
    <w:rsid w:val="004B1612"/>
    <w:rsid w:val="004B32C1"/>
    <w:rsid w:val="004B71CC"/>
    <w:rsid w:val="004B7329"/>
    <w:rsid w:val="004C1D25"/>
    <w:rsid w:val="004C1DD6"/>
    <w:rsid w:val="004C3FD3"/>
    <w:rsid w:val="004C4249"/>
    <w:rsid w:val="004C4AE2"/>
    <w:rsid w:val="004E0FDA"/>
    <w:rsid w:val="004E1331"/>
    <w:rsid w:val="004E3C71"/>
    <w:rsid w:val="004E41FB"/>
    <w:rsid w:val="004F3449"/>
    <w:rsid w:val="004F4067"/>
    <w:rsid w:val="004F41B1"/>
    <w:rsid w:val="00522606"/>
    <w:rsid w:val="00524638"/>
    <w:rsid w:val="005272C5"/>
    <w:rsid w:val="00537CE8"/>
    <w:rsid w:val="00541B71"/>
    <w:rsid w:val="00553513"/>
    <w:rsid w:val="00566C19"/>
    <w:rsid w:val="00581196"/>
    <w:rsid w:val="00587618"/>
    <w:rsid w:val="005B3C0B"/>
    <w:rsid w:val="005B6729"/>
    <w:rsid w:val="005C1E27"/>
    <w:rsid w:val="005C558D"/>
    <w:rsid w:val="005D1AA3"/>
    <w:rsid w:val="005D3440"/>
    <w:rsid w:val="005D673A"/>
    <w:rsid w:val="005E1931"/>
    <w:rsid w:val="005E1A54"/>
    <w:rsid w:val="005E64DB"/>
    <w:rsid w:val="005E6B42"/>
    <w:rsid w:val="005F24E4"/>
    <w:rsid w:val="005F5246"/>
    <w:rsid w:val="00602343"/>
    <w:rsid w:val="00603C2A"/>
    <w:rsid w:val="00604915"/>
    <w:rsid w:val="006140E6"/>
    <w:rsid w:val="00622D5C"/>
    <w:rsid w:val="00647263"/>
    <w:rsid w:val="006515D8"/>
    <w:rsid w:val="0065236C"/>
    <w:rsid w:val="00653FEB"/>
    <w:rsid w:val="006567A7"/>
    <w:rsid w:val="00663067"/>
    <w:rsid w:val="00665116"/>
    <w:rsid w:val="00667B3C"/>
    <w:rsid w:val="00673A25"/>
    <w:rsid w:val="0067616D"/>
    <w:rsid w:val="00680DAA"/>
    <w:rsid w:val="00682144"/>
    <w:rsid w:val="00687ADB"/>
    <w:rsid w:val="00690762"/>
    <w:rsid w:val="00690B01"/>
    <w:rsid w:val="0069200C"/>
    <w:rsid w:val="00692DCD"/>
    <w:rsid w:val="00693DF9"/>
    <w:rsid w:val="00694CD0"/>
    <w:rsid w:val="006B3983"/>
    <w:rsid w:val="006B6C9C"/>
    <w:rsid w:val="006C6716"/>
    <w:rsid w:val="006C7ED5"/>
    <w:rsid w:val="006D43CD"/>
    <w:rsid w:val="006D55B4"/>
    <w:rsid w:val="006E6D72"/>
    <w:rsid w:val="006F0B2A"/>
    <w:rsid w:val="006F3C18"/>
    <w:rsid w:val="00720C42"/>
    <w:rsid w:val="0073557E"/>
    <w:rsid w:val="00736B76"/>
    <w:rsid w:val="007633F9"/>
    <w:rsid w:val="00765DC7"/>
    <w:rsid w:val="00771EEA"/>
    <w:rsid w:val="007745E1"/>
    <w:rsid w:val="00781B41"/>
    <w:rsid w:val="00783414"/>
    <w:rsid w:val="0078564B"/>
    <w:rsid w:val="0079176E"/>
    <w:rsid w:val="007922B6"/>
    <w:rsid w:val="00797FF3"/>
    <w:rsid w:val="007A315B"/>
    <w:rsid w:val="007B06C4"/>
    <w:rsid w:val="007B75C4"/>
    <w:rsid w:val="007D10B3"/>
    <w:rsid w:val="007D482B"/>
    <w:rsid w:val="007D57BC"/>
    <w:rsid w:val="007E0B9C"/>
    <w:rsid w:val="007E16DD"/>
    <w:rsid w:val="007E1F83"/>
    <w:rsid w:val="007F0FA1"/>
    <w:rsid w:val="007F1633"/>
    <w:rsid w:val="007F237B"/>
    <w:rsid w:val="007F651C"/>
    <w:rsid w:val="0080500E"/>
    <w:rsid w:val="008123D5"/>
    <w:rsid w:val="00813C57"/>
    <w:rsid w:val="0083301D"/>
    <w:rsid w:val="008455B6"/>
    <w:rsid w:val="0085469C"/>
    <w:rsid w:val="008674D1"/>
    <w:rsid w:val="008737FA"/>
    <w:rsid w:val="00881BA5"/>
    <w:rsid w:val="00886279"/>
    <w:rsid w:val="0088791A"/>
    <w:rsid w:val="008A22C7"/>
    <w:rsid w:val="008B138A"/>
    <w:rsid w:val="008C26FC"/>
    <w:rsid w:val="008C793D"/>
    <w:rsid w:val="008E5601"/>
    <w:rsid w:val="008E5A35"/>
    <w:rsid w:val="008F5267"/>
    <w:rsid w:val="008F733C"/>
    <w:rsid w:val="00902D52"/>
    <w:rsid w:val="009074D9"/>
    <w:rsid w:val="00915068"/>
    <w:rsid w:val="00916BEE"/>
    <w:rsid w:val="009200D2"/>
    <w:rsid w:val="0092314E"/>
    <w:rsid w:val="00923636"/>
    <w:rsid w:val="0092493E"/>
    <w:rsid w:val="00932D2A"/>
    <w:rsid w:val="00933434"/>
    <w:rsid w:val="00980409"/>
    <w:rsid w:val="00984B5E"/>
    <w:rsid w:val="0099206F"/>
    <w:rsid w:val="00993045"/>
    <w:rsid w:val="00997586"/>
    <w:rsid w:val="009A379E"/>
    <w:rsid w:val="009B5833"/>
    <w:rsid w:val="009D2ED8"/>
    <w:rsid w:val="009E0C1F"/>
    <w:rsid w:val="009E72C3"/>
    <w:rsid w:val="009E7954"/>
    <w:rsid w:val="009F3B80"/>
    <w:rsid w:val="009F6007"/>
    <w:rsid w:val="009F6FFA"/>
    <w:rsid w:val="00A064EF"/>
    <w:rsid w:val="00A21386"/>
    <w:rsid w:val="00A31789"/>
    <w:rsid w:val="00A50352"/>
    <w:rsid w:val="00A5409C"/>
    <w:rsid w:val="00A563BC"/>
    <w:rsid w:val="00A57700"/>
    <w:rsid w:val="00A66B91"/>
    <w:rsid w:val="00A72F01"/>
    <w:rsid w:val="00A82E1D"/>
    <w:rsid w:val="00A85C99"/>
    <w:rsid w:val="00A860A4"/>
    <w:rsid w:val="00A8729B"/>
    <w:rsid w:val="00A90693"/>
    <w:rsid w:val="00A92DF0"/>
    <w:rsid w:val="00A95C05"/>
    <w:rsid w:val="00A9652A"/>
    <w:rsid w:val="00A96E20"/>
    <w:rsid w:val="00AA31A4"/>
    <w:rsid w:val="00AB20D3"/>
    <w:rsid w:val="00AB3416"/>
    <w:rsid w:val="00AB594A"/>
    <w:rsid w:val="00AB64EA"/>
    <w:rsid w:val="00AC1654"/>
    <w:rsid w:val="00AC2D91"/>
    <w:rsid w:val="00AC67FF"/>
    <w:rsid w:val="00AE13DA"/>
    <w:rsid w:val="00AF39B7"/>
    <w:rsid w:val="00B028EC"/>
    <w:rsid w:val="00B02B04"/>
    <w:rsid w:val="00B07445"/>
    <w:rsid w:val="00B1421C"/>
    <w:rsid w:val="00B14675"/>
    <w:rsid w:val="00B27C21"/>
    <w:rsid w:val="00B315DD"/>
    <w:rsid w:val="00B33423"/>
    <w:rsid w:val="00B42897"/>
    <w:rsid w:val="00B433E2"/>
    <w:rsid w:val="00B47705"/>
    <w:rsid w:val="00B619D0"/>
    <w:rsid w:val="00B63240"/>
    <w:rsid w:val="00B927EC"/>
    <w:rsid w:val="00B942C1"/>
    <w:rsid w:val="00BA2C58"/>
    <w:rsid w:val="00BA4E8E"/>
    <w:rsid w:val="00BA5F4F"/>
    <w:rsid w:val="00BA71C4"/>
    <w:rsid w:val="00BB2B9F"/>
    <w:rsid w:val="00BB734C"/>
    <w:rsid w:val="00BC452E"/>
    <w:rsid w:val="00BE67D5"/>
    <w:rsid w:val="00BF5FB9"/>
    <w:rsid w:val="00C10A66"/>
    <w:rsid w:val="00C139E2"/>
    <w:rsid w:val="00C20F93"/>
    <w:rsid w:val="00C239D2"/>
    <w:rsid w:val="00C27A0B"/>
    <w:rsid w:val="00C322A6"/>
    <w:rsid w:val="00C34B27"/>
    <w:rsid w:val="00C36E94"/>
    <w:rsid w:val="00C41255"/>
    <w:rsid w:val="00C44B9F"/>
    <w:rsid w:val="00C53D78"/>
    <w:rsid w:val="00C612BE"/>
    <w:rsid w:val="00C61D42"/>
    <w:rsid w:val="00C6550A"/>
    <w:rsid w:val="00C7061F"/>
    <w:rsid w:val="00C8220B"/>
    <w:rsid w:val="00C843F2"/>
    <w:rsid w:val="00C913AF"/>
    <w:rsid w:val="00C94638"/>
    <w:rsid w:val="00C97195"/>
    <w:rsid w:val="00C97EDB"/>
    <w:rsid w:val="00CA1488"/>
    <w:rsid w:val="00CA60D1"/>
    <w:rsid w:val="00CB0E41"/>
    <w:rsid w:val="00CC24F4"/>
    <w:rsid w:val="00CC35BE"/>
    <w:rsid w:val="00CC6F73"/>
    <w:rsid w:val="00CC7DA5"/>
    <w:rsid w:val="00CD401B"/>
    <w:rsid w:val="00CD668B"/>
    <w:rsid w:val="00CD7839"/>
    <w:rsid w:val="00CF05AB"/>
    <w:rsid w:val="00CF24ED"/>
    <w:rsid w:val="00CF305D"/>
    <w:rsid w:val="00CF695E"/>
    <w:rsid w:val="00D07561"/>
    <w:rsid w:val="00D13DCE"/>
    <w:rsid w:val="00D32C9F"/>
    <w:rsid w:val="00D359CD"/>
    <w:rsid w:val="00D368D2"/>
    <w:rsid w:val="00D419C2"/>
    <w:rsid w:val="00D515D0"/>
    <w:rsid w:val="00D53658"/>
    <w:rsid w:val="00D739A2"/>
    <w:rsid w:val="00D75042"/>
    <w:rsid w:val="00D81A62"/>
    <w:rsid w:val="00D81ABD"/>
    <w:rsid w:val="00D8236E"/>
    <w:rsid w:val="00D87D0A"/>
    <w:rsid w:val="00D939F4"/>
    <w:rsid w:val="00DC0D40"/>
    <w:rsid w:val="00DF549E"/>
    <w:rsid w:val="00DF6DFC"/>
    <w:rsid w:val="00E10353"/>
    <w:rsid w:val="00E12EDA"/>
    <w:rsid w:val="00E208A9"/>
    <w:rsid w:val="00E25B58"/>
    <w:rsid w:val="00E26EDD"/>
    <w:rsid w:val="00E32AA2"/>
    <w:rsid w:val="00E33F83"/>
    <w:rsid w:val="00E44087"/>
    <w:rsid w:val="00E44F94"/>
    <w:rsid w:val="00E5689C"/>
    <w:rsid w:val="00E57307"/>
    <w:rsid w:val="00E61D4D"/>
    <w:rsid w:val="00E65CB0"/>
    <w:rsid w:val="00E7561D"/>
    <w:rsid w:val="00E7597E"/>
    <w:rsid w:val="00E77D03"/>
    <w:rsid w:val="00E86EB8"/>
    <w:rsid w:val="00E917F8"/>
    <w:rsid w:val="00E91D0F"/>
    <w:rsid w:val="00E921A4"/>
    <w:rsid w:val="00EA3923"/>
    <w:rsid w:val="00EA497B"/>
    <w:rsid w:val="00EB3493"/>
    <w:rsid w:val="00EC2D3B"/>
    <w:rsid w:val="00ED1013"/>
    <w:rsid w:val="00EE4B19"/>
    <w:rsid w:val="00F04112"/>
    <w:rsid w:val="00F06B70"/>
    <w:rsid w:val="00F077F4"/>
    <w:rsid w:val="00F20E54"/>
    <w:rsid w:val="00F2290A"/>
    <w:rsid w:val="00F23090"/>
    <w:rsid w:val="00F24741"/>
    <w:rsid w:val="00F25B01"/>
    <w:rsid w:val="00F50485"/>
    <w:rsid w:val="00F65EC2"/>
    <w:rsid w:val="00F92F91"/>
    <w:rsid w:val="00F931D3"/>
    <w:rsid w:val="00F933C9"/>
    <w:rsid w:val="00FA0057"/>
    <w:rsid w:val="00FA65D1"/>
    <w:rsid w:val="00FB53DD"/>
    <w:rsid w:val="00FB5E8F"/>
    <w:rsid w:val="00FB6133"/>
    <w:rsid w:val="00FB6583"/>
    <w:rsid w:val="00FC2A5D"/>
    <w:rsid w:val="00FC4651"/>
    <w:rsid w:val="00FC4D28"/>
    <w:rsid w:val="00FC4FCB"/>
    <w:rsid w:val="00FC753F"/>
    <w:rsid w:val="00FE1A58"/>
    <w:rsid w:val="00FF100A"/>
    <w:rsid w:val="00FF3C40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A0424-24D0-48A1-BFF7-5D36570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4"/>
  </w:style>
  <w:style w:type="paragraph" w:styleId="1">
    <w:name w:val="heading 1"/>
    <w:basedOn w:val="a"/>
    <w:link w:val="10"/>
    <w:uiPriority w:val="9"/>
    <w:qFormat/>
    <w:rsid w:val="0004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rsid w:val="00F20E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0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E5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F54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DF549E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2D1F70"/>
  </w:style>
  <w:style w:type="paragraph" w:customStyle="1" w:styleId="ConsPlusNormal">
    <w:name w:val="ConsPlusNormal"/>
    <w:uiPriority w:val="99"/>
    <w:rsid w:val="00C36E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search4">
    <w:name w:val="highlightsearch4"/>
    <w:basedOn w:val="a0"/>
    <w:rsid w:val="00AB594A"/>
  </w:style>
  <w:style w:type="character" w:styleId="a9">
    <w:name w:val="Emphasis"/>
    <w:basedOn w:val="a0"/>
    <w:uiPriority w:val="20"/>
    <w:qFormat/>
    <w:rsid w:val="00166CA1"/>
    <w:rPr>
      <w:i/>
      <w:iCs/>
    </w:rPr>
  </w:style>
  <w:style w:type="paragraph" w:styleId="aa">
    <w:name w:val="header"/>
    <w:basedOn w:val="a"/>
    <w:link w:val="ab"/>
    <w:uiPriority w:val="99"/>
    <w:unhideWhenUsed/>
    <w:rsid w:val="00FF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100A"/>
  </w:style>
  <w:style w:type="paragraph" w:styleId="ac">
    <w:name w:val="footer"/>
    <w:basedOn w:val="a"/>
    <w:link w:val="ad"/>
    <w:uiPriority w:val="99"/>
    <w:unhideWhenUsed/>
    <w:rsid w:val="00FF1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100A"/>
  </w:style>
  <w:style w:type="table" w:customStyle="1" w:styleId="3">
    <w:name w:val="Сетка таблицы3"/>
    <w:basedOn w:val="a1"/>
    <w:next w:val="a3"/>
    <w:uiPriority w:val="39"/>
    <w:rsid w:val="000438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38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43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rsid w:val="00111F09"/>
    <w:pPr>
      <w:ind w:left="720"/>
      <w:contextualSpacing/>
    </w:pPr>
  </w:style>
  <w:style w:type="character" w:customStyle="1" w:styleId="highlightsearch">
    <w:name w:val="highlightsearch"/>
    <w:basedOn w:val="a0"/>
    <w:rsid w:val="00A563BC"/>
  </w:style>
  <w:style w:type="paragraph" w:customStyle="1" w:styleId="s1">
    <w:name w:val="s_1"/>
    <w:basedOn w:val="a"/>
    <w:rsid w:val="00C7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3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B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meria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mer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225A-B49A-417F-9A4D-26E277AE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Пользователь</cp:lastModifiedBy>
  <cp:revision>3</cp:revision>
  <cp:lastPrinted>2022-09-27T12:17:00Z</cp:lastPrinted>
  <dcterms:created xsi:type="dcterms:W3CDTF">2022-09-27T06:04:00Z</dcterms:created>
  <dcterms:modified xsi:type="dcterms:W3CDTF">2022-09-27T12:18:00Z</dcterms:modified>
</cp:coreProperties>
</file>